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14</w:t>
      </w:r>
      <w:r>
        <w:t xml:space="preserve"> </w:t>
      </w:r>
      <w:r>
        <w:t xml:space="preserve">May,</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–&gt;</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650000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GAM models.</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and temperature-age interactions improved the predictive skill, with models including the LandSat-derived UHI measures performing best on average.</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198" w:name="references"/>
    <w:p>
      <w:pPr>
        <w:pStyle w:val="Heading1"/>
      </w:pPr>
      <w:r>
        <w:rPr>
          <w:rStyle w:val="SectionNumber"/>
        </w:rPr>
        <w:t xml:space="preserve">6</w:t>
      </w:r>
      <w:r>
        <w:tab/>
      </w:r>
      <w:r>
        <w:t xml:space="preserve">References</w:t>
      </w:r>
    </w:p>
    <w:bookmarkStart w:id="195"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5">
        <w:r>
          <w:rPr>
            <w:rStyle w:val="Hyperlink"/>
          </w:rPr>
          <w:t xml:space="preserve">https://doi.org/10.1111/gcb.14317</w:t>
        </w:r>
      </w:hyperlink>
    </w:p>
    <w:bookmarkEnd w:id="116"/>
    <w:bookmarkStart w:id="118"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7">
        <w:r>
          <w:rPr>
            <w:rStyle w:val="Hyperlink"/>
          </w:rPr>
          <w:t xml:space="preserve">https://doi.org/10.1016/j.ufug.2014.06.005</w:t>
        </w:r>
      </w:hyperlink>
    </w:p>
    <w:bookmarkEnd w:id="118"/>
    <w:bookmarkStart w:id="120" w:name="ref-korner2015"/>
    <w:p>
      <w:pPr>
        <w:pStyle w:val="Bibliography"/>
      </w:pPr>
      <w:r>
        <w:t xml:space="preserve">Körner, C., 2015. Paradigm shift in plant growth control. Current Opinion in Plant Biology 25, 107–114.</w:t>
      </w:r>
      <w:r>
        <w:t xml:space="preserve"> </w:t>
      </w:r>
      <w:hyperlink r:id="rId119">
        <w:r>
          <w:rPr>
            <w:rStyle w:val="Hyperlink"/>
          </w:rPr>
          <w:t xml:space="preserve">https://doi.org/10.1016/j.pbi.2015.05.003</w:t>
        </w:r>
      </w:hyperlink>
    </w:p>
    <w:bookmarkEnd w:id="120"/>
    <w:bookmarkStart w:id="121"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1"/>
    <w:bookmarkStart w:id="123" w:name="ref-li2020a"/>
    <w:p>
      <w:pPr>
        <w:pStyle w:val="Bibliography"/>
      </w:pPr>
      <w:r>
        <w:t xml:space="preserve">Li, Z., Wood, S.N., 2020. Faster model matrix crossproducts for large generalized linear models with discretized covariates. Stat Comput 30, 19–25.</w:t>
      </w:r>
      <w:r>
        <w:t xml:space="preserve"> </w:t>
      </w:r>
      <w:hyperlink r:id="rId122">
        <w:r>
          <w:rPr>
            <w:rStyle w:val="Hyperlink"/>
          </w:rPr>
          <w:t xml:space="preserve">https://doi.org/10.1007/s11222-019-09864-2</w:t>
        </w:r>
      </w:hyperlink>
    </w:p>
    <w:bookmarkEnd w:id="123"/>
    <w:bookmarkStart w:id="125"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4">
        <w:r>
          <w:rPr>
            <w:rStyle w:val="Hyperlink"/>
          </w:rPr>
          <w:t xml:space="preserve">https://doi.org/10.1111/j.1365-3040.1991.tb01439.x</w:t>
        </w:r>
      </w:hyperlink>
    </w:p>
    <w:bookmarkEnd w:id="125"/>
    <w:bookmarkStart w:id="127" w:name="ref-mayer1987"/>
    <w:p>
      <w:pPr>
        <w:pStyle w:val="Bibliography"/>
      </w:pPr>
      <w:r>
        <w:t xml:space="preserve">Mayer, H., Höppe, P., 1987. Thermal comfort of man in different urban environments. Theor Appl Climatol 38, 43–49.</w:t>
      </w:r>
      <w:r>
        <w:t xml:space="preserve"> </w:t>
      </w:r>
      <w:hyperlink r:id="rId126">
        <w:r>
          <w:rPr>
            <w:rStyle w:val="Hyperlink"/>
          </w:rPr>
          <w:t xml:space="preserve">https://doi.org/10.1007/BF00866252</w:t>
        </w:r>
      </w:hyperlink>
    </w:p>
    <w:bookmarkEnd w:id="127"/>
    <w:bookmarkStart w:id="129"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28">
        <w:r>
          <w:rPr>
            <w:rStyle w:val="Hyperlink"/>
          </w:rPr>
          <w:t xml:space="preserve">https://doi.org/10.1111/j.1469-8137.2008.02436.x</w:t>
        </w:r>
      </w:hyperlink>
    </w:p>
    <w:bookmarkEnd w:id="129"/>
    <w:bookmarkStart w:id="131" w:name="ref-meineke2018"/>
    <w:p>
      <w:pPr>
        <w:pStyle w:val="Bibliography"/>
      </w:pPr>
      <w:r>
        <w:t xml:space="preserve">Meineke, E.K., Frank, S.D., 2018. Water availability drives urban tree growth responses to herbivory and warming. Journal of Applied Ecology 55, 1701–1713.</w:t>
      </w:r>
      <w:r>
        <w:t xml:space="preserve"> </w:t>
      </w:r>
      <w:hyperlink r:id="rId130">
        <w:r>
          <w:rPr>
            <w:rStyle w:val="Hyperlink"/>
          </w:rPr>
          <w:t xml:space="preserve">https://doi.org/10.1111/1365-2664.13130</w:t>
        </w:r>
      </w:hyperlink>
    </w:p>
    <w:bookmarkEnd w:id="131"/>
    <w:bookmarkStart w:id="133"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2">
        <w:r>
          <w:rPr>
            <w:rStyle w:val="Hyperlink"/>
          </w:rPr>
          <w:t xml:space="preserve">https://doi.org/10.4236/nr.2017.85022</w:t>
        </w:r>
      </w:hyperlink>
    </w:p>
    <w:bookmarkEnd w:id="133"/>
    <w:bookmarkStart w:id="135"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4">
        <w:r>
          <w:rPr>
            <w:rStyle w:val="Hyperlink"/>
          </w:rPr>
          <w:t xml:space="preserve">https://doi.org/10.3390/land9120525</w:t>
        </w:r>
      </w:hyperlink>
    </w:p>
    <w:bookmarkEnd w:id="135"/>
    <w:bookmarkStart w:id="137"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6">
        <w:r>
          <w:rPr>
            <w:rStyle w:val="Hyperlink"/>
          </w:rPr>
          <w:t xml:space="preserve">https://doi.org/10.1016/j.landurbplan.2018.11.004</w:t>
        </w:r>
      </w:hyperlink>
    </w:p>
    <w:bookmarkEnd w:id="137"/>
    <w:bookmarkStart w:id="139"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38">
        <w:r>
          <w:rPr>
            <w:rStyle w:val="Hyperlink"/>
          </w:rPr>
          <w:t xml:space="preserve">https://doi.org/10.1016/j.landurbplan.2014.10.018</w:t>
        </w:r>
      </w:hyperlink>
    </w:p>
    <w:bookmarkEnd w:id="139"/>
    <w:bookmarkStart w:id="141"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0">
        <w:r>
          <w:rPr>
            <w:rStyle w:val="Hyperlink"/>
          </w:rPr>
          <w:t xml:space="preserve">https://doi.org/10.1007/s11252-012-0250-7</w:t>
        </w:r>
      </w:hyperlink>
    </w:p>
    <w:bookmarkEnd w:id="141"/>
    <w:bookmarkStart w:id="142"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2"/>
    <w:bookmarkStart w:id="144" w:name="ref-oke1982"/>
    <w:p>
      <w:pPr>
        <w:pStyle w:val="Bibliography"/>
      </w:pPr>
      <w:r>
        <w:t xml:space="preserve">Oke, T.R., 1982. The energetic basis of the urban heat island. Quarterly Journal of the Royal Meteorological Society 108, 1–24.</w:t>
      </w:r>
      <w:r>
        <w:t xml:space="preserve"> </w:t>
      </w:r>
      <w:hyperlink r:id="rId143">
        <w:r>
          <w:rPr>
            <w:rStyle w:val="Hyperlink"/>
          </w:rPr>
          <w:t xml:space="preserve">https://doi.org/10.1002/qj.49710845502</w:t>
        </w:r>
      </w:hyperlink>
    </w:p>
    <w:bookmarkEnd w:id="144"/>
    <w:bookmarkStart w:id="146"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5">
        <w:r>
          <w:rPr>
            <w:rStyle w:val="Hyperlink"/>
          </w:rPr>
          <w:t xml:space="preserve">https://doi.org/10.1111/geb.13169</w:t>
        </w:r>
      </w:hyperlink>
    </w:p>
    <w:bookmarkEnd w:id="146"/>
    <w:bookmarkStart w:id="148"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7">
        <w:r>
          <w:rPr>
            <w:rStyle w:val="Hyperlink"/>
          </w:rPr>
          <w:t xml:space="preserve">https://doi.org/10.1093/jxb/erq003</w:t>
        </w:r>
      </w:hyperlink>
    </w:p>
    <w:bookmarkEnd w:id="148"/>
    <w:bookmarkStart w:id="150"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49">
        <w:r>
          <w:rPr>
            <w:rStyle w:val="Hyperlink"/>
          </w:rPr>
          <w:t xml:space="preserve">https://doi.org/10.1078/1618-8667-00009</w:t>
        </w:r>
      </w:hyperlink>
    </w:p>
    <w:bookmarkEnd w:id="150"/>
    <w:bookmarkStart w:id="152" w:name="ref-pedersen2019"/>
    <w:p>
      <w:pPr>
        <w:pStyle w:val="Bibliography"/>
      </w:pPr>
      <w:r>
        <w:t xml:space="preserve">Pedersen, E.J., Miller, D.L., Simpson, G.L., Ross, N., 2019. Hierarchical generalized additive models in ecology: An introduction with mgcv. PeerJ 7, e6876.</w:t>
      </w:r>
      <w:r>
        <w:t xml:space="preserve"> </w:t>
      </w:r>
      <w:hyperlink r:id="rId151">
        <w:r>
          <w:rPr>
            <w:rStyle w:val="Hyperlink"/>
          </w:rPr>
          <w:t xml:space="preserve">https://doi.org/10.7717/peerj.6876</w:t>
        </w:r>
      </w:hyperlink>
    </w:p>
    <w:bookmarkEnd w:id="152"/>
    <w:bookmarkStart w:id="154"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3">
        <w:r>
          <w:rPr>
            <w:rStyle w:val="Hyperlink"/>
          </w:rPr>
          <w:t xml:space="preserve">https://doi.org/10.1111/nph.16872</w:t>
        </w:r>
      </w:hyperlink>
    </w:p>
    <w:bookmarkEnd w:id="154"/>
    <w:bookmarkStart w:id="155"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5"/>
    <w:bookmarkStart w:id="157"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6">
        <w:r>
          <w:rPr>
            <w:rStyle w:val="Hyperlink"/>
          </w:rPr>
          <w:t xml:space="preserve">https://doi.org/10.1038/s41598-017-14831-w</w:t>
        </w:r>
      </w:hyperlink>
    </w:p>
    <w:bookmarkEnd w:id="157"/>
    <w:bookmarkStart w:id="159"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58">
        <w:r>
          <w:rPr>
            <w:rStyle w:val="Hyperlink"/>
          </w:rPr>
          <w:t xml:space="preserve">https://doi.org/10.1023/B:UECO.0000020170.58404.e9</w:t>
        </w:r>
      </w:hyperlink>
    </w:p>
    <w:bookmarkEnd w:id="159"/>
    <w:bookmarkStart w:id="160"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0"/>
    <w:bookmarkStart w:id="162" w:name="ref-randrup2001"/>
    <w:p>
      <w:pPr>
        <w:pStyle w:val="Bibliography"/>
      </w:pPr>
      <w:r>
        <w:t xml:space="preserve">Randrup, T.B., McPherson, E.G., Costello, L.R., 2001. A review of tree root conflicts with sidewalks, curbs, and roads. Urban Ecosystems 5, 209–225.</w:t>
      </w:r>
      <w:r>
        <w:t xml:space="preserve"> </w:t>
      </w:r>
      <w:hyperlink r:id="rId161">
        <w:r>
          <w:rPr>
            <w:rStyle w:val="Hyperlink"/>
          </w:rPr>
          <w:t xml:space="preserve">https://doi.org/10.1023/A:1024046004731</w:t>
        </w:r>
      </w:hyperlink>
    </w:p>
    <w:bookmarkEnd w:id="162"/>
    <w:bookmarkStart w:id="164"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3">
        <w:r>
          <w:rPr>
            <w:rStyle w:val="Hyperlink"/>
          </w:rPr>
          <w:t xml:space="preserve">https://doi.org/10.3389/fpls.2016.00734</w:t>
        </w:r>
      </w:hyperlink>
    </w:p>
    <w:bookmarkEnd w:id="164"/>
    <w:bookmarkStart w:id="165"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5"/>
    <w:bookmarkStart w:id="167"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6">
        <w:r>
          <w:rPr>
            <w:rStyle w:val="Hyperlink"/>
          </w:rPr>
          <w:t xml:space="preserve">https://doi.org/10.1016/j.ufug.2009.08.002</w:t>
        </w:r>
      </w:hyperlink>
    </w:p>
    <w:bookmarkEnd w:id="167"/>
    <w:bookmarkStart w:id="169"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68">
        <w:r>
          <w:rPr>
            <w:rStyle w:val="Hyperlink"/>
          </w:rPr>
          <w:t xml:space="preserve">https://doi.org/10.1007/s13280-020-01396-8</w:t>
        </w:r>
      </w:hyperlink>
    </w:p>
    <w:bookmarkEnd w:id="169"/>
    <w:bookmarkStart w:id="171"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0">
        <w:r>
          <w:rPr>
            <w:rStyle w:val="Hyperlink"/>
          </w:rPr>
          <w:t xml:space="preserve">https://doi.org/10.1016/j.ufug.2012.06.006</w:t>
        </w:r>
      </w:hyperlink>
    </w:p>
    <w:bookmarkEnd w:id="171"/>
    <w:bookmarkStart w:id="173"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2">
        <w:r>
          <w:rPr>
            <w:rStyle w:val="Hyperlink"/>
          </w:rPr>
          <w:t xml:space="preserve">https://doi.org/10.1371/journal.pone.0215846</w:t>
        </w:r>
      </w:hyperlink>
    </w:p>
    <w:bookmarkEnd w:id="173"/>
    <w:bookmarkStart w:id="175"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4">
        <w:r>
          <w:rPr>
            <w:rStyle w:val="Hyperlink"/>
          </w:rPr>
          <w:t xml:space="preserve">https://doi.org/10.1002/joc.2141</w:t>
        </w:r>
      </w:hyperlink>
    </w:p>
    <w:bookmarkEnd w:id="175"/>
    <w:bookmarkStart w:id="177"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76">
        <w:r>
          <w:rPr>
            <w:rStyle w:val="Hyperlink"/>
          </w:rPr>
          <w:t xml:space="preserve">https://doi.org/10.1175/BAMS-D-11-00019.1</w:t>
        </w:r>
      </w:hyperlink>
    </w:p>
    <w:bookmarkEnd w:id="177"/>
    <w:bookmarkStart w:id="178"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78"/>
    <w:bookmarkStart w:id="180"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79">
        <w:r>
          <w:rPr>
            <w:rStyle w:val="Hyperlink"/>
          </w:rPr>
          <w:t xml:space="preserve">https://doi.org/10.1046/j.1365-2486.2001.00397.x</w:t>
        </w:r>
      </w:hyperlink>
    </w:p>
    <w:bookmarkEnd w:id="180"/>
    <w:bookmarkStart w:id="181" w:name="ref-ward2007"/>
    <w:p>
      <w:pPr>
        <w:pStyle w:val="Bibliography"/>
      </w:pPr>
      <w:r>
        <w:t xml:space="preserve">Ward, K.T., Johnson, G.R., 2007. Geospatial methods provide timely and comprehensive urban forest information. Urban Forestry &amp; Urban Greening. 6: 15-22. 6.</w:t>
      </w:r>
    </w:p>
    <w:bookmarkEnd w:id="181"/>
    <w:bookmarkStart w:id="183"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2">
        <w:r>
          <w:rPr>
            <w:rStyle w:val="Hyperlink"/>
          </w:rPr>
          <w:t xml:space="preserve">https://doi.org/10.1016/j.ufug.2019.126580</w:t>
        </w:r>
      </w:hyperlink>
    </w:p>
    <w:bookmarkEnd w:id="183"/>
    <w:bookmarkStart w:id="185" w:name="ref-wohlfahrt2019"/>
    <w:p>
      <w:pPr>
        <w:pStyle w:val="Bibliography"/>
      </w:pPr>
      <w:r>
        <w:t xml:space="preserve">Wohlfahrt, G., Tomelleri, E., Hammerle, A., 2019. The urban imprint on plant phenology. Nat Ecol Evol 3, 1668–1674.</w:t>
      </w:r>
      <w:r>
        <w:t xml:space="preserve"> </w:t>
      </w:r>
      <w:hyperlink r:id="rId184">
        <w:r>
          <w:rPr>
            <w:rStyle w:val="Hyperlink"/>
          </w:rPr>
          <w:t xml:space="preserve">https://doi.org/10.1038/s41559-019-1017-9</w:t>
        </w:r>
      </w:hyperlink>
    </w:p>
    <w:bookmarkEnd w:id="185"/>
    <w:bookmarkStart w:id="186"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86"/>
    <w:bookmarkStart w:id="188"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87">
        <w:r>
          <w:rPr>
            <w:rStyle w:val="Hyperlink"/>
          </w:rPr>
          <w:t xml:space="preserve">https://doi.org/10.1111/j.1541-0420.2006.00574.x</w:t>
        </w:r>
      </w:hyperlink>
    </w:p>
    <w:bookmarkEnd w:id="188"/>
    <w:bookmarkStart w:id="190"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89">
        <w:r>
          <w:rPr>
            <w:rStyle w:val="Hyperlink"/>
          </w:rPr>
          <w:t xml:space="preserve">https://doi.org/10.1080/01621459.2016.1195744</w:t>
        </w:r>
      </w:hyperlink>
    </w:p>
    <w:bookmarkEnd w:id="190"/>
    <w:bookmarkStart w:id="192"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1">
        <w:r>
          <w:rPr>
            <w:rStyle w:val="Hyperlink"/>
          </w:rPr>
          <w:t xml:space="preserve">https://doi.org/10.1007/s11120-013-9874-6</w:t>
        </w:r>
      </w:hyperlink>
    </w:p>
    <w:bookmarkEnd w:id="192"/>
    <w:bookmarkStart w:id="194" w:name="ref-zhao2016"/>
    <w:p>
      <w:pPr>
        <w:pStyle w:val="Bibliography"/>
      </w:pPr>
      <w:r>
        <w:t xml:space="preserve">Zhao, S., Liu, S., Zhou, D., 2016. Prevalent vegetation growth enhancement in urban environment. PNAS 113, 6313–6318.</w:t>
      </w:r>
      <w:r>
        <w:t xml:space="preserve"> </w:t>
      </w:r>
      <w:hyperlink r:id="rId193">
        <w:r>
          <w:rPr>
            <w:rStyle w:val="Hyperlink"/>
          </w:rPr>
          <w:t xml:space="preserve">https://doi.org/10.1073/pnas.1602312113</w:t>
        </w:r>
      </w:hyperlink>
    </w:p>
    <w:bookmarkEnd w:id="194"/>
    <w:bookmarkEnd w:id="195"/>
    <w:bookmarkStart w:id="196" w:name="pagebreak"/>
    <w:p>
      <w:pPr>
        <w:pStyle w:val="Heading5"/>
      </w:pPr>
      <w:r>
        <w:rPr>
          <w:rStyle w:val="SectionNumber"/>
        </w:rPr>
        <w:t xml:space="preserve">6.0.0.0.1</w:t>
      </w:r>
      <w:r>
        <w:tab/>
      </w:r>
      <w:r>
        <w:t xml:space="preserve">pagebreak</w:t>
      </w:r>
    </w:p>
    <w:bookmarkEnd w:id="196"/>
    <w:bookmarkStart w:id="197" w:name="colophon"/>
    <w:p>
      <w:pPr>
        <w:pStyle w:val="Heading3"/>
      </w:pPr>
      <w:r>
        <w:rPr>
          <w:rStyle w:val="SectionNumber"/>
        </w:rPr>
        <w:t xml:space="preserve">6.0.1</w:t>
      </w:r>
      <w:r>
        <w:tab/>
      </w:r>
      <w:r>
        <w:t xml:space="preserve">Colophon</w:t>
      </w:r>
    </w:p>
    <w:p>
      <w:pPr>
        <w:pStyle w:val="FirstParagraph"/>
      </w:pPr>
      <w:r>
        <w:t xml:space="preserve">This report was generated on 2022-05-14 17:51:32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2022-05-14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/tmp/RtmpXCa2Jz/renv-system-library</w:t>
      </w:r>
      <w:r>
        <w:br/>
      </w:r>
      <w:r>
        <w:rPr>
          <w:rStyle w:val="VerbatimChar"/>
        </w:rPr>
        <w:t xml:space="preserve">#&gt; [3] /tmp/Rtmp1sCFUg/renv-system-library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[05d16c8] 2022-05-14: update paper</w:t>
      </w:r>
    </w:p>
    <w:bookmarkEnd w:id="197"/>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2022-05-14T15:51:34Z</dcterms:created>
  <dcterms:modified xsi:type="dcterms:W3CDTF">2022-05-14T15:51:34Z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14 May,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